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456AC" w14:textId="77777777" w:rsidR="00CD07ED" w:rsidRPr="00183006" w:rsidRDefault="00183006">
      <w:pPr>
        <w:rPr>
          <w:rFonts w:eastAsiaTheme="minorEastAsia"/>
          <w:b/>
          <w:sz w:val="28"/>
          <w:szCs w:val="28"/>
        </w:rPr>
      </w:pPr>
      <w:bookmarkStart w:id="0" w:name="_GoBack"/>
      <w:bookmarkEnd w:id="0"/>
      <w:r w:rsidRPr="00183006">
        <w:rPr>
          <w:rFonts w:eastAsiaTheme="minorEastAsia"/>
          <w:b/>
          <w:sz w:val="28"/>
          <w:szCs w:val="28"/>
        </w:rPr>
        <w:t xml:space="preserve">Stamp Duty and Stamp Duty Reserve Tax - Growth Market Exemption </w:t>
      </w:r>
    </w:p>
    <w:p w14:paraId="665DBE54" w14:textId="77777777" w:rsidR="00CD07ED" w:rsidRPr="00C33949" w:rsidRDefault="00CD07ED">
      <w:pPr>
        <w:rPr>
          <w:rFonts w:eastAsiaTheme="minorEastAsia"/>
          <w:sz w:val="24"/>
          <w:szCs w:val="24"/>
        </w:rPr>
      </w:pPr>
    </w:p>
    <w:p w14:paraId="355B7F0C" w14:textId="77777777" w:rsidR="00CD07ED" w:rsidRPr="00C33949" w:rsidRDefault="00183006">
      <w:pPr>
        <w:rPr>
          <w:rFonts w:eastAsiaTheme="minorEastAsia"/>
          <w:b/>
          <w:sz w:val="24"/>
          <w:szCs w:val="24"/>
        </w:rPr>
      </w:pPr>
      <w:r w:rsidRPr="00C33949">
        <w:rPr>
          <w:rFonts w:eastAsiaTheme="minorEastAsia"/>
          <w:b/>
          <w:sz w:val="24"/>
          <w:szCs w:val="24"/>
        </w:rPr>
        <w:t>The 20% Compounded Annual Growth Test Condition (see STSM041310) Formula</w:t>
      </w:r>
      <w:r w:rsidR="002B3A59" w:rsidRPr="00C33949">
        <w:rPr>
          <w:rFonts w:eastAsiaTheme="minorEastAsia"/>
          <w:b/>
          <w:sz w:val="24"/>
          <w:szCs w:val="24"/>
        </w:rPr>
        <w:t xml:space="preserve"> is</w:t>
      </w:r>
      <w:r w:rsidRPr="00C33949">
        <w:rPr>
          <w:rFonts w:eastAsiaTheme="minorEastAsia"/>
          <w:b/>
          <w:sz w:val="24"/>
          <w:szCs w:val="24"/>
        </w:rPr>
        <w:t>:</w:t>
      </w:r>
    </w:p>
    <w:p w14:paraId="1225C3BB" w14:textId="77777777" w:rsidR="00216F3D" w:rsidRPr="00183006" w:rsidRDefault="00561CF5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EV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BV</m:t>
                          </m:r>
                        </m:den>
                      </m:f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×100</m:t>
          </m:r>
        </m:oMath>
      </m:oMathPara>
    </w:p>
    <w:p w14:paraId="14E4F620" w14:textId="77777777" w:rsidR="002B3A59" w:rsidRPr="00C33949" w:rsidRDefault="002B3A59" w:rsidP="002B3A59">
      <w:pPr>
        <w:jc w:val="both"/>
        <w:rPr>
          <w:sz w:val="24"/>
          <w:szCs w:val="24"/>
        </w:rPr>
      </w:pPr>
      <w:r w:rsidRPr="00C33949">
        <w:rPr>
          <w:sz w:val="24"/>
          <w:szCs w:val="24"/>
        </w:rPr>
        <w:t xml:space="preserve">In order to meet this condition (section 99A (5) (b) FA1986) </w:t>
      </w:r>
      <w:r w:rsidR="00183006" w:rsidRPr="00C33949">
        <w:rPr>
          <w:sz w:val="24"/>
          <w:szCs w:val="24"/>
        </w:rPr>
        <w:t xml:space="preserve">HMRC must be satisfied that the market’s rules require companies seeking admission to demonstrate at least 20% compounded annual growth </w:t>
      </w:r>
      <w:r w:rsidRPr="00C33949">
        <w:rPr>
          <w:sz w:val="24"/>
          <w:szCs w:val="24"/>
        </w:rPr>
        <w:t xml:space="preserve">over the three periods of account preceding admission </w:t>
      </w:r>
      <w:r w:rsidR="00183006" w:rsidRPr="00C33949">
        <w:rPr>
          <w:sz w:val="24"/>
          <w:szCs w:val="24"/>
        </w:rPr>
        <w:t>in</w:t>
      </w:r>
      <w:r w:rsidRPr="00C33949">
        <w:rPr>
          <w:sz w:val="24"/>
          <w:szCs w:val="24"/>
        </w:rPr>
        <w:t xml:space="preserve"> either:</w:t>
      </w:r>
    </w:p>
    <w:p w14:paraId="2EC2F29B" w14:textId="77777777" w:rsidR="002B3A59" w:rsidRPr="00C33949" w:rsidRDefault="00183006" w:rsidP="002B3A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3949">
        <w:rPr>
          <w:sz w:val="24"/>
          <w:szCs w:val="24"/>
        </w:rPr>
        <w:t xml:space="preserve">gross revenue or </w:t>
      </w:r>
    </w:p>
    <w:p w14:paraId="07E1FB01" w14:textId="77777777" w:rsidR="002B3A59" w:rsidRPr="00C33949" w:rsidRDefault="00183006" w:rsidP="002B3A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3949">
        <w:rPr>
          <w:sz w:val="24"/>
          <w:szCs w:val="24"/>
        </w:rPr>
        <w:t xml:space="preserve">employment </w:t>
      </w:r>
    </w:p>
    <w:p w14:paraId="03670EEA" w14:textId="77777777" w:rsidR="000557F8" w:rsidRPr="00C33949" w:rsidRDefault="000557F8" w:rsidP="000557F8">
      <w:pPr>
        <w:rPr>
          <w:b/>
          <w:sz w:val="24"/>
          <w:szCs w:val="24"/>
        </w:rPr>
      </w:pPr>
      <w:r w:rsidRPr="00C33949">
        <w:rPr>
          <w:b/>
          <w:sz w:val="24"/>
          <w:szCs w:val="24"/>
        </w:rPr>
        <w:t>Definitions</w:t>
      </w:r>
    </w:p>
    <w:p w14:paraId="23B3C74E" w14:textId="77777777" w:rsidR="00183006" w:rsidRPr="00C33949" w:rsidRDefault="002B3A59" w:rsidP="000557F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C33949">
        <w:rPr>
          <w:b/>
          <w:sz w:val="24"/>
          <w:szCs w:val="24"/>
        </w:rPr>
        <w:t>Gross Revenue</w:t>
      </w:r>
      <w:r w:rsidR="000557F8" w:rsidRPr="00C33949">
        <w:rPr>
          <w:b/>
          <w:sz w:val="24"/>
          <w:szCs w:val="24"/>
        </w:rPr>
        <w:t xml:space="preserve"> Test</w:t>
      </w:r>
      <w:r w:rsidRPr="00C33949">
        <w:rPr>
          <w:b/>
          <w:sz w:val="24"/>
          <w:szCs w:val="24"/>
        </w:rPr>
        <w:t>:</w:t>
      </w:r>
    </w:p>
    <w:p w14:paraId="42F1B9D4" w14:textId="77777777" w:rsidR="00183006" w:rsidRPr="00C33949" w:rsidRDefault="00183006">
      <w:pPr>
        <w:rPr>
          <w:sz w:val="24"/>
          <w:szCs w:val="24"/>
        </w:rPr>
      </w:pPr>
      <w:r w:rsidRPr="00C33949">
        <w:rPr>
          <w:sz w:val="24"/>
          <w:szCs w:val="24"/>
        </w:rPr>
        <w:t>“EV” = the company’s gross revenue for the last of the three pre-admission periods of account</w:t>
      </w:r>
    </w:p>
    <w:p w14:paraId="4E72C039" w14:textId="77777777" w:rsidR="00183006" w:rsidRPr="00C33949" w:rsidRDefault="00183006">
      <w:pPr>
        <w:rPr>
          <w:sz w:val="24"/>
          <w:szCs w:val="24"/>
        </w:rPr>
      </w:pPr>
      <w:r w:rsidRPr="00C33949">
        <w:rPr>
          <w:sz w:val="24"/>
          <w:szCs w:val="24"/>
        </w:rPr>
        <w:t>“BV” = the company’s gross revenue for the period of account immediately preceding the three pre-admission periods of account.</w:t>
      </w:r>
    </w:p>
    <w:p w14:paraId="23452C1E" w14:textId="77777777" w:rsidR="002B3A59" w:rsidRPr="00C33949" w:rsidRDefault="002B3A59">
      <w:pPr>
        <w:rPr>
          <w:sz w:val="24"/>
          <w:szCs w:val="24"/>
        </w:rPr>
      </w:pPr>
      <w:r w:rsidRPr="00C33949">
        <w:rPr>
          <w:sz w:val="24"/>
          <w:szCs w:val="24"/>
        </w:rPr>
        <w:t>“Period of Account” = the period for which the company draws up accounts.</w:t>
      </w:r>
    </w:p>
    <w:p w14:paraId="2FBA3378" w14:textId="77777777" w:rsidR="002B3A59" w:rsidRPr="00C33949" w:rsidRDefault="002B3A59" w:rsidP="000557F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C33949">
        <w:rPr>
          <w:b/>
          <w:sz w:val="24"/>
          <w:szCs w:val="24"/>
        </w:rPr>
        <w:t>Employment</w:t>
      </w:r>
      <w:r w:rsidR="000557F8" w:rsidRPr="00C33949">
        <w:rPr>
          <w:b/>
          <w:sz w:val="24"/>
          <w:szCs w:val="24"/>
        </w:rPr>
        <w:t xml:space="preserve"> Test</w:t>
      </w:r>
      <w:r w:rsidRPr="00C33949">
        <w:rPr>
          <w:b/>
          <w:sz w:val="24"/>
          <w:szCs w:val="24"/>
        </w:rPr>
        <w:t>:</w:t>
      </w:r>
    </w:p>
    <w:p w14:paraId="155561C1" w14:textId="77777777" w:rsidR="002B3A59" w:rsidRPr="00C33949" w:rsidRDefault="002B3A59">
      <w:pPr>
        <w:rPr>
          <w:sz w:val="24"/>
          <w:szCs w:val="24"/>
        </w:rPr>
      </w:pPr>
      <w:r w:rsidRPr="00C33949">
        <w:rPr>
          <w:sz w:val="24"/>
          <w:szCs w:val="24"/>
        </w:rPr>
        <w:t>“EV” = the number of employees of the company at the end of the last of the three pre-admission periods of account.</w:t>
      </w:r>
    </w:p>
    <w:p w14:paraId="0793F6D1" w14:textId="77777777" w:rsidR="002B3A59" w:rsidRPr="00C33949" w:rsidRDefault="002B3A59">
      <w:pPr>
        <w:rPr>
          <w:sz w:val="24"/>
          <w:szCs w:val="24"/>
        </w:rPr>
      </w:pPr>
      <w:r w:rsidRPr="00C33949">
        <w:rPr>
          <w:sz w:val="24"/>
          <w:szCs w:val="24"/>
        </w:rPr>
        <w:t>“BV” = the number of employees of the company at the end of the period of account immediately preceding the three pre-admission periods of account.</w:t>
      </w:r>
    </w:p>
    <w:p w14:paraId="52707143" w14:textId="77777777" w:rsidR="002B3A59" w:rsidRPr="00C33949" w:rsidRDefault="002B3A59">
      <w:pPr>
        <w:rPr>
          <w:sz w:val="24"/>
          <w:szCs w:val="24"/>
        </w:rPr>
      </w:pPr>
      <w:r w:rsidRPr="00C33949">
        <w:rPr>
          <w:sz w:val="24"/>
          <w:szCs w:val="24"/>
        </w:rPr>
        <w:t>“Period of Account” = the period for which the company draws up accounts.</w:t>
      </w:r>
    </w:p>
    <w:sectPr w:rsidR="002B3A59" w:rsidRPr="00C339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38D1C" w14:textId="77777777" w:rsidR="002B39D4" w:rsidRDefault="002B39D4" w:rsidP="000557F8">
      <w:pPr>
        <w:spacing w:after="0" w:line="240" w:lineRule="auto"/>
      </w:pPr>
      <w:r>
        <w:separator/>
      </w:r>
    </w:p>
  </w:endnote>
  <w:endnote w:type="continuationSeparator" w:id="0">
    <w:p w14:paraId="6E495531" w14:textId="77777777" w:rsidR="002B39D4" w:rsidRDefault="002B39D4" w:rsidP="0005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07914" w14:textId="77777777" w:rsidR="00561CF5" w:rsidRDefault="00561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940CD" w14:textId="77777777" w:rsidR="000557F8" w:rsidRDefault="000557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9094f629b99dfc0a8006f41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AFC074" w14:textId="77777777" w:rsidR="000557F8" w:rsidRPr="000557F8" w:rsidRDefault="000557F8" w:rsidP="000557F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557F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9094f629b99dfc0a8006f41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" o:allowincell="f" filled="f" stroked="f" strokeweight=".5pt">
              <v:textbox inset=",0,,0">
                <w:txbxContent>
                  <w:p w14:paraId="44AFC074" w14:textId="77777777" w:rsidR="000557F8" w:rsidRPr="000557F8" w:rsidRDefault="000557F8" w:rsidP="000557F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557F8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AC757" w14:textId="77777777" w:rsidR="00561CF5" w:rsidRDefault="00561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4FF60" w14:textId="77777777" w:rsidR="002B39D4" w:rsidRDefault="002B39D4" w:rsidP="000557F8">
      <w:pPr>
        <w:spacing w:after="0" w:line="240" w:lineRule="auto"/>
      </w:pPr>
      <w:r>
        <w:separator/>
      </w:r>
    </w:p>
  </w:footnote>
  <w:footnote w:type="continuationSeparator" w:id="0">
    <w:p w14:paraId="7B96107D" w14:textId="77777777" w:rsidR="002B39D4" w:rsidRDefault="002B39D4" w:rsidP="0005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B651A" w14:textId="77777777" w:rsidR="00561CF5" w:rsidRDefault="00561C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1A8F8" w14:textId="77777777" w:rsidR="00561CF5" w:rsidRDefault="00561C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7089E" w14:textId="77777777" w:rsidR="00561CF5" w:rsidRDefault="00561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4630"/>
    <w:multiLevelType w:val="hybridMultilevel"/>
    <w:tmpl w:val="CA70CC4A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5049D1"/>
    <w:multiLevelType w:val="hybridMultilevel"/>
    <w:tmpl w:val="5DD08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04C67"/>
    <w:multiLevelType w:val="hybridMultilevel"/>
    <w:tmpl w:val="38266C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ED"/>
    <w:rsid w:val="000557F8"/>
    <w:rsid w:val="001764DB"/>
    <w:rsid w:val="00183006"/>
    <w:rsid w:val="002B39D4"/>
    <w:rsid w:val="002B3A59"/>
    <w:rsid w:val="00561CF5"/>
    <w:rsid w:val="00A74777"/>
    <w:rsid w:val="00C33949"/>
    <w:rsid w:val="00CD07ED"/>
    <w:rsid w:val="00F724D5"/>
    <w:rsid w:val="00FA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419755"/>
  <w15:chartTrackingRefBased/>
  <w15:docId w15:val="{C7F37E83-73C1-45A7-AC27-0E1BC379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A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7F8"/>
  </w:style>
  <w:style w:type="paragraph" w:styleId="Footer">
    <w:name w:val="footer"/>
    <w:basedOn w:val="Normal"/>
    <w:link w:val="FooterChar"/>
    <w:uiPriority w:val="99"/>
    <w:unhideWhenUsed/>
    <w:rsid w:val="00055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E2D2B7D778D4B842564D931FC3AEB" ma:contentTypeVersion="13" ma:contentTypeDescription="Create a new document." ma:contentTypeScope="" ma:versionID="1c72b792aac057d6174704ac6d7bb463">
  <xsd:schema xmlns:xsd="http://www.w3.org/2001/XMLSchema" xmlns:xs="http://www.w3.org/2001/XMLSchema" xmlns:p="http://schemas.microsoft.com/office/2006/metadata/properties" xmlns:ns2="ddd85c03-5544-4bcd-9b4c-2ff50ea8f6a9" xmlns:ns3="3e4de0ec-3993-422b-b79b-9c7cab4598c5" targetNamespace="http://schemas.microsoft.com/office/2006/metadata/properties" ma:root="true" ma:fieldsID="a1398c9dc119a512af42fa836857fdb2" ns2:_="" ns3:_="">
    <xsd:import namespace="ddd85c03-5544-4bcd-9b4c-2ff50ea8f6a9"/>
    <xsd:import namespace="3e4de0ec-3993-422b-b79b-9c7cab459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5c03-5544-4bcd-9b4c-2ff50ea8f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de0ec-3993-422b-b79b-9c7cab459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D9F50-0A40-4B44-9627-1C6890748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F3CC0-B9BA-4654-9D85-F9BA4B5A7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85c03-5544-4bcd-9b4c-2ff50ea8f6a9"/>
    <ds:schemaRef ds:uri="3e4de0ec-3993-422b-b79b-9c7cab459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941462-B299-41D7-A31B-32860E364BA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3e4de0ec-3993-422b-b79b-9c7cab4598c5"/>
    <ds:schemaRef ds:uri="http://schemas.openxmlformats.org/package/2006/metadata/core-properties"/>
    <ds:schemaRef ds:uri="ddd85c03-5544-4bcd-9b4c-2ff50ea8f6a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Parkes, Neil (CS&amp;TD Business, Assets &amp; International)</dc:creator>
  <cp:keywords/>
  <dc:description/>
  <cp:lastModifiedBy>Parkes, Neil (CS&amp;TD Business, Assets &amp; International)</cp:lastModifiedBy>
  <cp:revision>2</cp:revision>
  <dcterms:created xsi:type="dcterms:W3CDTF">2022-05-31T12:33:00Z</dcterms:created>
  <dcterms:modified xsi:type="dcterms:W3CDTF">2022-05-31T12:33:00Z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2022-04-21T08:50:24Z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0c5ec0d4-0c10-4c24-a20c-16d12c60969a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0x01010048FE2D2B7D778D4B842564D931FC3AEB</vt:lpwstr>
  </property>
</Properties>
</file>